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FC42" w14:textId="77777777" w:rsidR="00587309" w:rsidRDefault="00587309" w:rsidP="00E506E5">
      <w:pPr>
        <w:ind w:firstLine="567"/>
      </w:pPr>
      <w:proofErr w:type="spellStart"/>
      <w:r>
        <w:rPr>
          <w:rFonts w:ascii="Arial" w:hAnsi="Arial" w:cs="Arial"/>
          <w:color w:val="000000"/>
          <w:bdr w:val="none" w:sz="0" w:space="0" w:color="auto" w:frame="1"/>
        </w:rPr>
        <w:t>Минпросвещения</w:t>
      </w:r>
      <w:proofErr w:type="spellEnd"/>
      <w:r>
        <w:rPr>
          <w:rFonts w:ascii="Arial" w:hAnsi="Arial" w:cs="Arial"/>
          <w:color w:val="000000"/>
          <w:bdr w:val="none" w:sz="0" w:space="0" w:color="auto" w:frame="1"/>
        </w:rPr>
        <w:t xml:space="preserve"> России, Рособрнадзор и Совет по вопросам проведения итогового сочинения принял решение об изменении с 2022/23 учебного года подхода к формированию комплектов тем итогового сочинения: они будут формироваться из закрытого банка тем итогового сочинения.</w:t>
      </w:r>
      <w:r>
        <w:rPr>
          <w:rFonts w:ascii="Arial" w:hAnsi="Arial" w:cs="Arial"/>
          <w:color w:val="000000"/>
          <w:sz w:val="30"/>
          <w:szCs w:val="30"/>
        </w:rPr>
        <w:br/>
      </w:r>
      <w:r>
        <w:rPr>
          <w:rFonts w:ascii="Arial" w:hAnsi="Arial" w:cs="Arial"/>
          <w:color w:val="000000"/>
          <w:bdr w:val="none" w:sz="0" w:space="0" w:color="auto" w:frame="1"/>
        </w:rPr>
        <w:t>В 2022/23 учебном году комплекты тем итогового сочинения будут собираться только из тех тем, которые использовались в прошлые годы (их более полутора тысяч). В дальнейшем закрытый банк тем итогового сочинения будет ежегодно пополняться новыми темами.</w:t>
      </w:r>
      <w:r>
        <w:rPr>
          <w:rFonts w:ascii="Arial" w:hAnsi="Arial" w:cs="Arial"/>
          <w:color w:val="000000"/>
          <w:sz w:val="30"/>
          <w:szCs w:val="30"/>
        </w:rPr>
        <w:br/>
      </w:r>
      <w:r>
        <w:rPr>
          <w:rFonts w:ascii="Arial" w:hAnsi="Arial" w:cs="Arial"/>
          <w:color w:val="000000"/>
          <w:sz w:val="30"/>
          <w:szCs w:val="30"/>
        </w:rPr>
        <w:br/>
      </w:r>
      <w:r>
        <w:rPr>
          <w:rStyle w:val="a3"/>
          <w:rFonts w:ascii="Arial" w:hAnsi="Arial" w:cs="Arial"/>
          <w:color w:val="000000"/>
        </w:rPr>
        <w:t>На сайте ФГБНУ «ФИПИ» опубликованы следующие материалы:</w:t>
      </w:r>
      <w:r>
        <w:rPr>
          <w:rFonts w:ascii="Arial" w:hAnsi="Arial" w:cs="Arial"/>
          <w:color w:val="000000"/>
          <w:sz w:val="30"/>
          <w:szCs w:val="30"/>
        </w:rPr>
        <w:br/>
      </w:r>
      <w:hyperlink r:id="rId4" w:tgtFrame="_blank" w:history="1">
        <w:r>
          <w:rPr>
            <w:rStyle w:val="a4"/>
            <w:rFonts w:ascii="Arial" w:hAnsi="Arial" w:cs="Arial"/>
            <w:color w:val="1E7B84"/>
            <w:bdr w:val="none" w:sz="0" w:space="0" w:color="auto" w:frame="1"/>
          </w:rPr>
          <w:t>1. Структура закрытого банка тем итогового сочинения</w:t>
        </w:r>
      </w:hyperlink>
      <w:r>
        <w:rPr>
          <w:rFonts w:ascii="Arial" w:hAnsi="Arial" w:cs="Arial"/>
          <w:color w:val="000000"/>
          <w:sz w:val="30"/>
          <w:szCs w:val="30"/>
        </w:rPr>
        <w:br/>
      </w:r>
      <w:hyperlink r:id="rId5" w:tgtFrame="_blank" w:history="1">
        <w:r>
          <w:rPr>
            <w:rStyle w:val="a4"/>
            <w:rFonts w:ascii="Arial" w:hAnsi="Arial" w:cs="Arial"/>
            <w:color w:val="1E7B84"/>
            <w:bdr w:val="none" w:sz="0" w:space="0" w:color="auto" w:frame="1"/>
          </w:rPr>
          <w:t>2. Комментарии к разделам закрытого банка тем итогового сочинения</w:t>
        </w:r>
      </w:hyperlink>
      <w:r>
        <w:rPr>
          <w:rFonts w:ascii="Arial" w:hAnsi="Arial" w:cs="Arial"/>
          <w:color w:val="000000"/>
          <w:sz w:val="30"/>
          <w:szCs w:val="30"/>
        </w:rPr>
        <w:br/>
      </w:r>
      <w:hyperlink r:id="rId6" w:tgtFrame="_blank" w:history="1">
        <w:r>
          <w:rPr>
            <w:rStyle w:val="a4"/>
            <w:rFonts w:ascii="Arial" w:hAnsi="Arial" w:cs="Arial"/>
            <w:color w:val="1E7B84"/>
            <w:bdr w:val="none" w:sz="0" w:space="0" w:color="auto" w:frame="1"/>
          </w:rPr>
          <w:t>3. Образец комплекта тем 2022/23 учебного года</w:t>
        </w:r>
      </w:hyperlink>
      <w:r>
        <w:rPr>
          <w:rFonts w:ascii="Arial" w:hAnsi="Arial" w:cs="Arial"/>
          <w:color w:val="000000"/>
          <w:sz w:val="30"/>
          <w:szCs w:val="30"/>
        </w:rPr>
        <w:br/>
      </w:r>
      <w:hyperlink r:id="rId7" w:tgtFrame="_blank" w:history="1">
        <w:r>
          <w:rPr>
            <w:rStyle w:val="a4"/>
            <w:rFonts w:ascii="Arial" w:hAnsi="Arial" w:cs="Arial"/>
            <w:color w:val="1E7B84"/>
            <w:bdr w:val="none" w:sz="0" w:space="0" w:color="auto" w:frame="1"/>
          </w:rPr>
          <w:t>4. Критерии оценивания итогового сочинения (изложения)</w:t>
        </w:r>
      </w:hyperlink>
    </w:p>
    <w:p w14:paraId="3B2F6923" w14:textId="77777777" w:rsidR="00587309" w:rsidRDefault="00587309" w:rsidP="00E506E5">
      <w:pPr>
        <w:ind w:firstLine="567"/>
      </w:pPr>
    </w:p>
    <w:p w14:paraId="24E1329E" w14:textId="77777777" w:rsidR="00587309" w:rsidRDefault="00587309" w:rsidP="00E506E5">
      <w:pPr>
        <w:ind w:firstLine="567"/>
      </w:pPr>
    </w:p>
    <w:p w14:paraId="6E5F9523" w14:textId="77777777" w:rsidR="00587309" w:rsidRPr="00587309" w:rsidRDefault="00587309" w:rsidP="00E506E5">
      <w:pPr>
        <w:ind w:firstLine="567"/>
        <w:rPr>
          <w:b/>
          <w:bCs/>
          <w:color w:val="FF0000"/>
        </w:rPr>
      </w:pPr>
      <w:r w:rsidRPr="00587309">
        <w:rPr>
          <w:b/>
          <w:bCs/>
          <w:color w:val="FF0000"/>
        </w:rPr>
        <w:t>УЧАСТНИКИ ИТОГОВОГО СОЧИНЕНИЯ (ИЗЛОЖЕНИЯ)</w:t>
      </w:r>
    </w:p>
    <w:p w14:paraId="63E95354" w14:textId="77777777" w:rsidR="00587309" w:rsidRDefault="00587309" w:rsidP="00E506E5">
      <w:pPr>
        <w:ind w:firstLine="567"/>
      </w:pPr>
      <w:r>
        <w:t>ИТОГОВОЕ СОЧИНЕНИЕ (ИЗЛОЖЕНИЕ) КАК УСЛОВИЕ ДОПУСКА К ГИА-11 проводится для:</w:t>
      </w:r>
    </w:p>
    <w:p w14:paraId="092EA1D9" w14:textId="77777777" w:rsidR="00587309" w:rsidRDefault="00587309" w:rsidP="00E506E5">
      <w:pPr>
        <w:ind w:firstLine="567"/>
      </w:pPr>
      <w:r>
        <w:t>обучающихся XI (XII) классов;</w:t>
      </w:r>
    </w:p>
    <w:p w14:paraId="5D03BDA0" w14:textId="77777777" w:rsidR="00587309" w:rsidRDefault="00587309" w:rsidP="00E506E5">
      <w:pPr>
        <w:ind w:firstLine="567"/>
      </w:pPr>
      <w: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14:paraId="738E7B03" w14:textId="77777777" w:rsidR="00587309" w:rsidRDefault="00587309" w:rsidP="00E506E5">
      <w:pPr>
        <w:ind w:firstLine="567"/>
      </w:pPr>
      <w: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14:paraId="3C1224C4" w14:textId="77777777" w:rsidR="00587309" w:rsidRDefault="00587309" w:rsidP="00E506E5">
      <w:pPr>
        <w:ind w:firstLine="567"/>
      </w:pPr>
      <w: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1F1944A7" w14:textId="77777777" w:rsidR="00587309" w:rsidRDefault="00587309" w:rsidP="00E506E5">
      <w:pPr>
        <w:ind w:firstLine="567"/>
      </w:pPr>
      <w:r>
        <w:t>обучающихся с ограниченными возможностями здоровья, детей-инвалидов и инвалидов по образовательным программам среднего общего образования.</w:t>
      </w:r>
    </w:p>
    <w:p w14:paraId="276B7F27" w14:textId="77777777" w:rsidR="00587309" w:rsidRDefault="00587309" w:rsidP="00E506E5">
      <w:pPr>
        <w:ind w:firstLine="567"/>
      </w:pPr>
    </w:p>
    <w:p w14:paraId="61F9D5C1" w14:textId="77777777" w:rsidR="00587309" w:rsidRDefault="00587309" w:rsidP="00E506E5">
      <w:pPr>
        <w:ind w:firstLine="567"/>
      </w:pPr>
      <w: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14:paraId="488A3E1B" w14:textId="77777777" w:rsidR="00587309" w:rsidRDefault="00587309" w:rsidP="00E506E5">
      <w:pPr>
        <w:ind w:firstLine="567"/>
      </w:pPr>
    </w:p>
    <w:p w14:paraId="7A7D6859" w14:textId="77777777" w:rsidR="00587309" w:rsidRDefault="00587309" w:rsidP="00E506E5">
      <w:pPr>
        <w:ind w:firstLine="567"/>
      </w:pPr>
      <w:r>
        <w:lastRenderedPageBreak/>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14:paraId="381916AB" w14:textId="77777777" w:rsidR="00587309" w:rsidRDefault="00587309" w:rsidP="00E506E5">
      <w:pPr>
        <w:ind w:firstLine="567"/>
      </w:pPr>
      <w:r>
        <w:t>граждан, имеющих среднее общее образование, полученное в иностранных образовательных организациях;</w:t>
      </w:r>
    </w:p>
    <w:p w14:paraId="35876D2C" w14:textId="77777777" w:rsidR="00587309" w:rsidRDefault="00587309" w:rsidP="00E506E5">
      <w:pPr>
        <w:ind w:firstLine="567"/>
      </w:pPr>
      <w:r>
        <w:t>лиц, обучающихся по образовательным программам среднего профессионального образования;</w:t>
      </w:r>
    </w:p>
    <w:p w14:paraId="2773FCAA" w14:textId="77777777" w:rsidR="00587309" w:rsidRDefault="00587309" w:rsidP="00E506E5">
      <w:pPr>
        <w:ind w:firstLine="567"/>
      </w:pPr>
      <w:r>
        <w:t>лиц, получающих среднее общее образование в иностранных образовательных организациях;</w:t>
      </w:r>
    </w:p>
    <w:p w14:paraId="27B0CAC5" w14:textId="77777777" w:rsidR="00587309" w:rsidRDefault="00587309" w:rsidP="00E506E5">
      <w:pPr>
        <w:ind w:firstLine="567"/>
      </w:pPr>
      <w:r>
        <w:t>лиц, допущенных к ГИА-11 в предыдущие годы, но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ГИА-11 в дополнительные сроки.</w:t>
      </w:r>
    </w:p>
    <w:p w14:paraId="445FA635" w14:textId="77777777" w:rsidR="00587309" w:rsidRDefault="00587309" w:rsidP="00E506E5">
      <w:pPr>
        <w:ind w:firstLine="567"/>
      </w:pPr>
      <w:r>
        <w:t>ИЗЛОЖЕНИЕ ВПРАВЕ ПИСАТЬ СЛЕДУЮЩИЕ КАТЕГОРИИ ЛИЦ:</w:t>
      </w:r>
    </w:p>
    <w:p w14:paraId="24781366" w14:textId="77777777" w:rsidR="00587309" w:rsidRDefault="00587309" w:rsidP="00E506E5">
      <w:pPr>
        <w:ind w:firstLine="567"/>
      </w:pPr>
      <w:r>
        <w:t>обучающиеся XI (XII) классов с ограниченными возможностями здоровья;</w:t>
      </w:r>
    </w:p>
    <w:p w14:paraId="2D8D0939" w14:textId="77777777" w:rsidR="00587309" w:rsidRDefault="00587309" w:rsidP="00E506E5">
      <w:pPr>
        <w:ind w:firstLine="567"/>
      </w:pPr>
      <w:r>
        <w:t>лица, обучающиеся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с ограниченными возможностями здоровья;</w:t>
      </w:r>
    </w:p>
    <w:p w14:paraId="16A78908" w14:textId="77777777" w:rsidR="00587309" w:rsidRDefault="00587309" w:rsidP="00E506E5">
      <w:pPr>
        <w:ind w:firstLine="567"/>
      </w:pPr>
      <w:r>
        <w:t>дети-инвалиды и инвалиды;</w:t>
      </w:r>
    </w:p>
    <w:p w14:paraId="3440A9A9" w14:textId="77777777" w:rsidR="00587309" w:rsidRDefault="00587309" w:rsidP="00E506E5">
      <w:pPr>
        <w:ind w:firstLine="567"/>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2FB98340" w14:textId="77777777" w:rsidR="00587309" w:rsidRDefault="00587309" w:rsidP="00E506E5">
      <w:pPr>
        <w:ind w:firstLine="567"/>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7AECF355" w14:textId="77777777" w:rsidR="00587309" w:rsidRDefault="00587309" w:rsidP="00E506E5">
      <w:pPr>
        <w:ind w:firstLine="567"/>
      </w:pPr>
      <w:r>
        <w:t>ПОВТОРНО ДОПУСКАЮТСЯ К НАПИСАНИЮ ИТОГОВОГО СОЧИНЕНИЯ (ИЗЛОЖЕНИЯ) в дополнительные сроки в текущем учебном году:</w:t>
      </w:r>
    </w:p>
    <w:p w14:paraId="6F3FEFD9" w14:textId="77777777" w:rsidR="00587309" w:rsidRDefault="00587309" w:rsidP="00E506E5">
      <w:pPr>
        <w:ind w:firstLine="567"/>
      </w:pPr>
      <w: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получившие по итоговому сочинению (изложению) неудовлетворительный результат («незачет»);</w:t>
      </w:r>
    </w:p>
    <w:p w14:paraId="02E14E4C" w14:textId="77777777" w:rsidR="00587309" w:rsidRDefault="00587309" w:rsidP="00E506E5">
      <w:pPr>
        <w:ind w:firstLine="567"/>
      </w:pPr>
      <w:r>
        <w:t xml:space="preserve">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w:t>
      </w:r>
      <w:r>
        <w:lastRenderedPageBreak/>
        <w:t>о среднем общем образовании, удаленные с итогового сочинения (изложения) за нарушение требований, установленных пунктом 27 настоящего Порядка;</w:t>
      </w:r>
    </w:p>
    <w:p w14:paraId="188573D5" w14:textId="77777777" w:rsidR="00587309" w:rsidRDefault="00587309" w:rsidP="00E506E5">
      <w:pPr>
        <w:ind w:firstLine="567"/>
      </w:pPr>
    </w:p>
    <w:p w14:paraId="52B96B07" w14:textId="77777777" w:rsidR="00587309" w:rsidRDefault="00587309" w:rsidP="00E506E5">
      <w:pPr>
        <w:ind w:firstLine="567"/>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2E4BC250" w14:textId="77777777" w:rsidR="00587309" w:rsidRDefault="00587309" w:rsidP="00E506E5">
      <w:pPr>
        <w:ind w:firstLine="567"/>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B6A3794" w14:textId="77777777" w:rsidR="00587309" w:rsidRDefault="00587309" w:rsidP="00E506E5">
      <w:pPr>
        <w:ind w:firstLine="567"/>
      </w:pPr>
      <w:r>
        <w:t>Обучающиеся, получившие неудовлетворительный результат («незачет») за итоговое сочинение (изложение),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w:t>
      </w:r>
    </w:p>
    <w:p w14:paraId="24E2EB4E" w14:textId="77777777" w:rsidR="00587309" w:rsidRDefault="00587309" w:rsidP="00E506E5">
      <w:pPr>
        <w:ind w:firstLine="567"/>
      </w:pPr>
    </w:p>
    <w:p w14:paraId="3069CE34" w14:textId="77777777" w:rsidR="00587309" w:rsidRPr="00587309" w:rsidRDefault="00587309" w:rsidP="00E506E5">
      <w:pPr>
        <w:ind w:firstLine="567"/>
        <w:rPr>
          <w:b/>
          <w:bCs/>
          <w:color w:val="FF0000"/>
        </w:rPr>
      </w:pPr>
      <w:r w:rsidRPr="00587309">
        <w:rPr>
          <w:b/>
          <w:bCs/>
          <w:color w:val="FF0000"/>
        </w:rPr>
        <w:t>ПОРЯДОК ПОДАЧИ ЗАЯВЛЕНИЯ НА УЧАСТИЕ В ИТОГОВОМ СОЧИНЕНИИ (ИЗЛОЖЕНИИ)</w:t>
      </w:r>
    </w:p>
    <w:p w14:paraId="66186393" w14:textId="77777777" w:rsidR="00587309" w:rsidRDefault="00587309" w:rsidP="00E506E5">
      <w:pPr>
        <w:ind w:firstLine="567"/>
      </w:pPr>
      <w:r>
        <w:t>Для участия в итоговом сочинении (изложении) необходимо подать заявление и согласие на обработку персональных данных не позднее чем за две недели до начала проведения итогового сочинения (изложения):</w:t>
      </w:r>
    </w:p>
    <w:p w14:paraId="50B0F191" w14:textId="77777777" w:rsidR="00587309" w:rsidRDefault="00587309" w:rsidP="00E506E5">
      <w:pPr>
        <w:ind w:firstLine="567"/>
      </w:pPr>
      <w:r>
        <w:t>обучающимся – в образовательные организации, в которых обучающиеся осваивают образовательные программы среднего общего образования;</w:t>
      </w:r>
    </w:p>
    <w:p w14:paraId="2F30287C" w14:textId="77777777" w:rsidR="00587309" w:rsidRDefault="00587309" w:rsidP="00E506E5">
      <w:pPr>
        <w:ind w:firstLine="567"/>
      </w:pPr>
      <w:r>
        <w:t>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14:paraId="658DEA98" w14:textId="77777777" w:rsidR="00587309" w:rsidRDefault="00587309" w:rsidP="00E506E5">
      <w:pPr>
        <w:ind w:firstLine="567"/>
      </w:pPr>
      <w:r>
        <w:t>лицам, участвующим в итоговом сочинении по желанию –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w:t>
      </w:r>
    </w:p>
    <w:p w14:paraId="106DC959" w14:textId="77777777" w:rsidR="00587309" w:rsidRDefault="00587309" w:rsidP="00E506E5">
      <w:pPr>
        <w:ind w:firstLine="567"/>
      </w:pPr>
      <w:r>
        <w:t>лиц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ГИА-11.</w:t>
      </w:r>
    </w:p>
    <w:p w14:paraId="5ED22609" w14:textId="77777777" w:rsidR="00587309" w:rsidRDefault="00587309" w:rsidP="00E506E5">
      <w:pPr>
        <w:ind w:firstLine="567"/>
      </w:pPr>
      <w:r>
        <w:t>Обучающиеся, лица с ограниченными возможностями здоровья при подаче заявления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14:paraId="3F0A04C8" w14:textId="3F648D92" w:rsidR="00587309" w:rsidRDefault="00587309" w:rsidP="00E506E5">
      <w:pPr>
        <w:ind w:firstLine="567"/>
      </w:pPr>
      <w:r>
        <w:t>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7C5D0516" w14:textId="77777777" w:rsidR="00E506E5" w:rsidRPr="00E506E5" w:rsidRDefault="00E506E5" w:rsidP="00E506E5">
      <w:pPr>
        <w:ind w:firstLine="567"/>
        <w:rPr>
          <w:b/>
          <w:bCs/>
          <w:color w:val="FF0000"/>
        </w:rPr>
      </w:pPr>
      <w:r w:rsidRPr="00E506E5">
        <w:rPr>
          <w:b/>
          <w:bCs/>
          <w:color w:val="FF0000"/>
        </w:rPr>
        <w:t xml:space="preserve">ПРОДОЛЖИТЕЛЬНОСТЬ </w:t>
      </w:r>
      <w:proofErr w:type="gramStart"/>
      <w:r w:rsidRPr="00E506E5">
        <w:rPr>
          <w:b/>
          <w:bCs/>
          <w:color w:val="FF0000"/>
        </w:rPr>
        <w:t>ПРОВЕДЕНИЯ  ИТОГОВОГО</w:t>
      </w:r>
      <w:proofErr w:type="gramEnd"/>
      <w:r w:rsidRPr="00E506E5">
        <w:rPr>
          <w:b/>
          <w:bCs/>
          <w:color w:val="FF0000"/>
        </w:rPr>
        <w:t xml:space="preserve"> СОЧИНЕНИЯ (ИЗЛОЖЕНИЯ)</w:t>
      </w:r>
    </w:p>
    <w:p w14:paraId="17990658" w14:textId="77777777" w:rsidR="00E506E5" w:rsidRDefault="00E506E5" w:rsidP="00E506E5">
      <w:pPr>
        <w:ind w:firstLine="567"/>
      </w:pPr>
      <w:r>
        <w:t>Продолжительность выполнения итогового сочинения (изложения) составляет 3 часа 55 минут (235 минут).</w:t>
      </w:r>
    </w:p>
    <w:p w14:paraId="6495206E" w14:textId="77777777" w:rsidR="00E506E5" w:rsidRDefault="00E506E5" w:rsidP="00E506E5">
      <w:pPr>
        <w:ind w:firstLine="567"/>
      </w:pPr>
    </w:p>
    <w:p w14:paraId="41D12384" w14:textId="08E17806" w:rsidR="00E506E5" w:rsidRDefault="00E506E5" w:rsidP="00E506E5">
      <w:pPr>
        <w:ind w:firstLine="567"/>
      </w:pPr>
      <w: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7CF4AC90" w14:textId="353C05A2" w:rsidR="00E506E5" w:rsidRDefault="00E506E5" w:rsidP="00E506E5">
      <w:pPr>
        <w:ind w:firstLine="567"/>
      </w:pPr>
      <w: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w:t>
      </w:r>
    </w:p>
    <w:p w14:paraId="2CFE7B6C" w14:textId="4FFC8D9F" w:rsidR="00E506E5" w:rsidRDefault="00E506E5" w:rsidP="00E506E5">
      <w:pPr>
        <w:ind w:firstLine="567"/>
      </w:pPr>
      <w:r>
        <w:t>Для участников итогового сочинения (изложения) с ограниченными возможностями здоровья,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сочинения (изложения) в условиях, учитывающих состояние их здоровья, особенности психофизического развития.</w:t>
      </w:r>
    </w:p>
    <w:p w14:paraId="3A454878" w14:textId="114E89E0" w:rsidR="00E506E5" w:rsidRDefault="00E506E5" w:rsidP="00E506E5">
      <w:pPr>
        <w:ind w:firstLine="567"/>
      </w:pPr>
      <w:r>
        <w:t>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органами исполнительной власти субъектов Российской Федерации, осуществляющими государственное управление в сфере образования.</w:t>
      </w:r>
    </w:p>
    <w:p w14:paraId="2465E090" w14:textId="7CCFD8CE" w:rsidR="00E506E5" w:rsidRDefault="00E506E5" w:rsidP="00E506E5">
      <w:pPr>
        <w:ind w:firstLine="567"/>
      </w:pPr>
      <w: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w:t>
      </w:r>
    </w:p>
    <w:p w14:paraId="7A90BF01" w14:textId="02111967" w:rsidR="00E506E5" w:rsidRDefault="00E506E5" w:rsidP="00E506E5">
      <w:pPr>
        <w:ind w:firstLine="567"/>
      </w:pPr>
      <w:r>
        <w:t>Итоговое сочинение (изложение) начинается в 10.00 по местному времени.</w:t>
      </w:r>
    </w:p>
    <w:p w14:paraId="15D0D760" w14:textId="22DA12CC" w:rsidR="00E506E5" w:rsidRDefault="00E506E5" w:rsidP="00E506E5">
      <w:pPr>
        <w:ind w:firstLine="567"/>
      </w:pPr>
      <w:r>
        <w:t>Во время проведения итогового сочинения (изложения) на рабочем столе участников итогового сочинения (изложения) помимо бланка регистрации</w:t>
      </w:r>
      <w:r>
        <w:t xml:space="preserve"> </w:t>
      </w:r>
      <w:r>
        <w:t>и бланков записи (дополнительных бланков записи) находятся:</w:t>
      </w:r>
    </w:p>
    <w:p w14:paraId="31D21C67" w14:textId="1F884A04" w:rsidR="00E506E5" w:rsidRDefault="00E506E5" w:rsidP="00E506E5">
      <w:pPr>
        <w:ind w:firstLine="567"/>
      </w:pPr>
      <w:r>
        <w:t xml:space="preserve">ручка (гелевая </w:t>
      </w:r>
      <w:proofErr w:type="gramStart"/>
      <w:r>
        <w:t>или  капиллярная</w:t>
      </w:r>
      <w:proofErr w:type="gramEnd"/>
      <w:r>
        <w:t xml:space="preserve"> с чернилами черного цвета)</w:t>
      </w:r>
    </w:p>
    <w:p w14:paraId="46F700BC" w14:textId="7C847967" w:rsidR="00E506E5" w:rsidRDefault="00E506E5" w:rsidP="00E506E5">
      <w:pPr>
        <w:ind w:firstLine="567"/>
      </w:pPr>
      <w:r>
        <w:t>документ, удостоверяющий личность;</w:t>
      </w:r>
    </w:p>
    <w:p w14:paraId="24E8A613" w14:textId="0B627D59" w:rsidR="00E506E5" w:rsidRDefault="00E506E5" w:rsidP="00E506E5">
      <w:pPr>
        <w:ind w:firstLine="567"/>
      </w:pPr>
      <w: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14:paraId="5A509867" w14:textId="16B0F945" w:rsidR="00E506E5" w:rsidRDefault="00E506E5" w:rsidP="00E506E5">
      <w:pPr>
        <w:ind w:firstLine="567"/>
      </w:pPr>
      <w:r>
        <w:t>листы бумаги для черновиков, выданные по месту проведения итогового сочинения (изложения);</w:t>
      </w:r>
    </w:p>
    <w:p w14:paraId="7ADA79D1" w14:textId="3A8D768B" w:rsidR="00E506E5" w:rsidRDefault="00E506E5" w:rsidP="00E506E5">
      <w:pPr>
        <w:ind w:firstLine="567"/>
      </w:pPr>
      <w:r>
        <w:t>лекарства и питание (при необходимости);</w:t>
      </w:r>
    </w:p>
    <w:p w14:paraId="3206CA4D" w14:textId="04D8398D" w:rsidR="00E506E5" w:rsidRDefault="00E506E5" w:rsidP="00E506E5">
      <w:pPr>
        <w:ind w:firstLine="567"/>
      </w:pPr>
      <w:r>
        <w:t>специальные технические средства (для участников итогового сочинения (изложения) с ограниченными возможностями здоровья, детей-инвалидов</w:t>
      </w:r>
      <w:r>
        <w:t xml:space="preserve"> </w:t>
      </w:r>
      <w:r>
        <w:t>и инвалидов) (при необходимости).</w:t>
      </w:r>
    </w:p>
    <w:p w14:paraId="0EC6B58D" w14:textId="7A11441A" w:rsidR="00E506E5" w:rsidRDefault="00E506E5" w:rsidP="00E506E5">
      <w:pPr>
        <w:ind w:firstLine="567"/>
      </w:pPr>
      <w:r>
        <w:lastRenderedPageBreak/>
        <w:t>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формата А4.</w:t>
      </w:r>
    </w:p>
    <w:p w14:paraId="58435B05" w14:textId="638BF80B" w:rsidR="00E506E5" w:rsidRDefault="00E506E5" w:rsidP="00E506E5">
      <w:pPr>
        <w:ind w:firstLine="567"/>
      </w:pPr>
      <w:r>
        <w:t>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62F76302" w14:textId="325BC3DD" w:rsidR="00E506E5" w:rsidRDefault="00E506E5" w:rsidP="00E506E5">
      <w:pPr>
        <w:ind w:firstLine="567"/>
      </w:pPr>
      <w:r>
        <w:t>Участники итогового сочинения (изложения), нарушившие установленные требования, удаляются с итогового сочинения (изложения)</w:t>
      </w:r>
    </w:p>
    <w:p w14:paraId="0F97F169" w14:textId="7624984E" w:rsidR="00E506E5" w:rsidRDefault="00E506E5" w:rsidP="00E506E5">
      <w:pPr>
        <w:ind w:firstLine="567"/>
      </w:pPr>
      <w:r>
        <w:t>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органом исполнительной власти субъекта Российской Федерации, осуществляющим государственное управление в сфере образования, и завершается не позднее чем через семь календарных дней с даты проведения итогового сочинения (изложения).</w:t>
      </w:r>
    </w:p>
    <w:p w14:paraId="4DF371FB" w14:textId="77777777" w:rsidR="00E506E5" w:rsidRPr="00680B1E" w:rsidRDefault="00E506E5" w:rsidP="00E506E5">
      <w:pPr>
        <w:ind w:firstLine="567"/>
        <w:rPr>
          <w:b/>
          <w:bCs/>
          <w:color w:val="FF0000"/>
        </w:rPr>
      </w:pPr>
      <w:r w:rsidRPr="00680B1E">
        <w:rPr>
          <w:b/>
          <w:bCs/>
          <w:color w:val="FF0000"/>
        </w:rPr>
        <w:t>ТРЕБОВАНИЯ К СОЧИНЕНИЮ:</w:t>
      </w:r>
    </w:p>
    <w:p w14:paraId="0F688CB8" w14:textId="77777777" w:rsidR="00E506E5" w:rsidRDefault="00E506E5" w:rsidP="00E506E5">
      <w:pPr>
        <w:ind w:firstLine="567"/>
      </w:pPr>
    </w:p>
    <w:p w14:paraId="65B7F109" w14:textId="6F92EA09" w:rsidR="00680B1E" w:rsidRDefault="00680B1E" w:rsidP="00680B1E">
      <w:pPr>
        <w:ind w:firstLine="567"/>
      </w:pPr>
      <w:r>
        <w:t>Т</w:t>
      </w:r>
      <w:r>
        <w:t>ребование № 1. «Объем итогового сочинения»</w:t>
      </w:r>
    </w:p>
    <w:p w14:paraId="04D6FBD4" w14:textId="2EDC09CE" w:rsidR="00680B1E" w:rsidRDefault="00680B1E" w:rsidP="00680B1E">
      <w:pPr>
        <w:ind w:firstLine="567"/>
      </w:pPr>
      <w:r>
        <w:t>Рекомендуемое количество слов – от 350.</w:t>
      </w:r>
    </w:p>
    <w:p w14:paraId="5F1448B8" w14:textId="1A383C10" w:rsidR="00680B1E" w:rsidRDefault="00680B1E" w:rsidP="00680B1E">
      <w:pPr>
        <w:ind w:firstLine="567"/>
      </w:pPr>
      <w: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14:paraId="509C9320" w14:textId="0C2397E1" w:rsidR="00680B1E" w:rsidRDefault="00680B1E" w:rsidP="00680B1E">
      <w:pPr>
        <w:ind w:firstLine="567"/>
      </w:pPr>
      <w:r>
        <w:t>Требование № 2. «Самостоятельность написания итогового сочинения»</w:t>
      </w:r>
    </w:p>
    <w:p w14:paraId="20B274F0" w14:textId="67A7046A" w:rsidR="00680B1E" w:rsidRDefault="00680B1E" w:rsidP="00680B1E">
      <w:pPr>
        <w:ind w:firstLine="567"/>
      </w:pPr>
      <w: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793CDD7F" w14:textId="77777777" w:rsidR="00680B1E" w:rsidRDefault="00680B1E" w:rsidP="00680B1E">
      <w:pPr>
        <w:ind w:firstLine="567"/>
      </w:pPr>
      <w:r>
        <w:t>Всё об итоговом сочинении 2022-2023</w:t>
      </w:r>
    </w:p>
    <w:p w14:paraId="2F0A47D3" w14:textId="77777777" w:rsidR="00680B1E" w:rsidRDefault="00680B1E" w:rsidP="00680B1E">
      <w:pPr>
        <w:ind w:firstLine="567"/>
      </w:pPr>
      <w:r>
        <w:t>Темы для итогового сочинения 2022-2023</w:t>
      </w:r>
    </w:p>
    <w:p w14:paraId="387238B4" w14:textId="77777777" w:rsidR="00680B1E" w:rsidRDefault="00680B1E" w:rsidP="00680B1E">
      <w:pPr>
        <w:ind w:firstLine="567"/>
      </w:pPr>
      <w:r>
        <w:t>Литература - что необходимо прочитать по каждому направлению 2022-2023</w:t>
      </w:r>
    </w:p>
    <w:p w14:paraId="4CC6008C" w14:textId="260A8B82" w:rsidR="00680B1E" w:rsidRDefault="00680B1E" w:rsidP="00680B1E">
      <w:pPr>
        <w:ind w:firstLine="567"/>
      </w:pPr>
      <w:r>
        <w:t>Итоговое сочинение, соответствующее установленным выше требованиям, оценивается по 5 критериям:</w:t>
      </w:r>
    </w:p>
    <w:p w14:paraId="630FDFDC" w14:textId="77777777" w:rsidR="00680B1E" w:rsidRDefault="00680B1E" w:rsidP="00680B1E">
      <w:pPr>
        <w:ind w:firstLine="567"/>
      </w:pPr>
      <w:r>
        <w:t>«Соответствие теме»;</w:t>
      </w:r>
    </w:p>
    <w:p w14:paraId="730BF56D" w14:textId="77777777" w:rsidR="00680B1E" w:rsidRDefault="00680B1E" w:rsidP="00680B1E">
      <w:pPr>
        <w:ind w:firstLine="567"/>
      </w:pPr>
      <w:r>
        <w:t>«Аргументация. Привлечение литературного материала»;</w:t>
      </w:r>
    </w:p>
    <w:p w14:paraId="2CD35621" w14:textId="77777777" w:rsidR="00680B1E" w:rsidRDefault="00680B1E" w:rsidP="00680B1E">
      <w:pPr>
        <w:ind w:firstLine="567"/>
      </w:pPr>
      <w:r>
        <w:t>«Композиция и логика рассуждения»;</w:t>
      </w:r>
    </w:p>
    <w:p w14:paraId="429BE975" w14:textId="77777777" w:rsidR="00680B1E" w:rsidRDefault="00680B1E" w:rsidP="00680B1E">
      <w:pPr>
        <w:ind w:firstLine="567"/>
      </w:pPr>
      <w:r>
        <w:t>«Качество письменной речи»;</w:t>
      </w:r>
    </w:p>
    <w:p w14:paraId="7258138E" w14:textId="77777777" w:rsidR="00680B1E" w:rsidRDefault="00680B1E" w:rsidP="00680B1E">
      <w:pPr>
        <w:ind w:firstLine="567"/>
      </w:pPr>
      <w:r>
        <w:t>«Грамотность».</w:t>
      </w:r>
    </w:p>
    <w:p w14:paraId="37F31790" w14:textId="77777777" w:rsidR="00680B1E" w:rsidRDefault="00680B1E" w:rsidP="00680B1E">
      <w:pPr>
        <w:ind w:firstLine="567"/>
      </w:pPr>
      <w:r>
        <w:t>Критерии № 1 и № 2 являются основными.</w:t>
      </w:r>
    </w:p>
    <w:p w14:paraId="03DBB539" w14:textId="77777777" w:rsidR="00680B1E" w:rsidRDefault="00680B1E" w:rsidP="00680B1E">
      <w:pPr>
        <w:ind w:firstLine="567"/>
      </w:pPr>
    </w:p>
    <w:p w14:paraId="62D64094" w14:textId="421258FF" w:rsidR="00680B1E" w:rsidRDefault="00680B1E" w:rsidP="00680B1E">
      <w:pPr>
        <w:ind w:firstLine="567"/>
      </w:pPr>
      <w: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50784B6D" w14:textId="77777777" w:rsidR="00680B1E" w:rsidRDefault="00680B1E" w:rsidP="00680B1E">
      <w:pPr>
        <w:ind w:firstLine="567"/>
      </w:pPr>
      <w:r>
        <w:t>Критерий № 1 «Соответствие теме»</w:t>
      </w:r>
    </w:p>
    <w:p w14:paraId="3CCE4CFF" w14:textId="1AD71DF6" w:rsidR="00680B1E" w:rsidRDefault="00680B1E" w:rsidP="00680B1E">
      <w:pPr>
        <w:ind w:firstLine="567"/>
      </w:pPr>
      <w:r>
        <w:t>Данный критерий нацеливает на проверку содержания сочинения.</w:t>
      </w:r>
    </w:p>
    <w:p w14:paraId="5241090F" w14:textId="41FE2EE7" w:rsidR="00680B1E" w:rsidRDefault="00680B1E" w:rsidP="00680B1E">
      <w:pPr>
        <w:ind w:firstLine="567"/>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7E693E42" w14:textId="77D5BC55" w:rsidR="00680B1E" w:rsidRDefault="00680B1E" w:rsidP="00680B1E">
      <w:pPr>
        <w:ind w:firstLine="567"/>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14:paraId="26865533" w14:textId="77777777" w:rsidR="00680B1E" w:rsidRDefault="00680B1E" w:rsidP="00680B1E">
      <w:pPr>
        <w:ind w:firstLine="567"/>
      </w:pPr>
      <w:r>
        <w:t>Критерий № 2 «Аргументация. Привлечение литературного материала»</w:t>
      </w:r>
    </w:p>
    <w:p w14:paraId="5312EF7A" w14:textId="381C1AE3" w:rsidR="00680B1E" w:rsidRDefault="00680B1E" w:rsidP="00680B1E">
      <w:pPr>
        <w:ind w:firstLine="567"/>
      </w:pPr>
      <w: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14:paraId="18EA4124" w14:textId="779B555C" w:rsidR="00680B1E" w:rsidRDefault="00680B1E" w:rsidP="00680B1E">
      <w:pPr>
        <w:ind w:firstLine="567"/>
      </w:pPr>
      <w: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14:paraId="6DD1B327" w14:textId="77777777" w:rsidR="00680B1E" w:rsidRDefault="00680B1E" w:rsidP="00680B1E">
      <w:pPr>
        <w:ind w:firstLine="567"/>
      </w:pPr>
      <w:r>
        <w:t>Критерий № 3 «Композиция и логика рассуждения»</w:t>
      </w:r>
    </w:p>
    <w:p w14:paraId="54AAB304" w14:textId="18B709B6" w:rsidR="00680B1E" w:rsidRDefault="00680B1E" w:rsidP="00680B1E">
      <w:pPr>
        <w:ind w:firstLine="567"/>
      </w:pPr>
      <w: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79C79199" w14:textId="4B7ED2F7" w:rsidR="00680B1E" w:rsidRDefault="00680B1E" w:rsidP="00680B1E">
      <w:pPr>
        <w:ind w:firstLine="567"/>
      </w:pPr>
      <w: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782994DD" w14:textId="77777777" w:rsidR="00680B1E" w:rsidRDefault="00680B1E" w:rsidP="00680B1E">
      <w:pPr>
        <w:ind w:firstLine="567"/>
      </w:pPr>
      <w:r>
        <w:t>Критерий № 4 «Качество письменной речи»</w:t>
      </w:r>
    </w:p>
    <w:p w14:paraId="4701CC67" w14:textId="48349F35" w:rsidR="00680B1E" w:rsidRDefault="00680B1E" w:rsidP="00680B1E">
      <w:pPr>
        <w:ind w:firstLine="567"/>
      </w:pPr>
      <w:r>
        <w:t>Данный критерий нацеливает на проверку речевого оформления текста сочинения.</w:t>
      </w:r>
    </w:p>
    <w:p w14:paraId="6FD95F67" w14:textId="0BDB65FA" w:rsidR="00680B1E" w:rsidRDefault="00680B1E" w:rsidP="00680B1E">
      <w:pPr>
        <w:ind w:firstLine="567"/>
      </w:pPr>
      <w: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14:paraId="5A995151" w14:textId="79EAC3D3" w:rsidR="00680B1E" w:rsidRDefault="00680B1E" w:rsidP="00680B1E">
      <w:pPr>
        <w:ind w:firstLine="567"/>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6D1841E" w14:textId="77777777" w:rsidR="00680B1E" w:rsidRDefault="00680B1E" w:rsidP="00680B1E">
      <w:pPr>
        <w:ind w:firstLine="567"/>
      </w:pPr>
      <w:r>
        <w:t>Критерий № 5 «Грамотность»</w:t>
      </w:r>
    </w:p>
    <w:p w14:paraId="470DB0C2" w14:textId="517FB459" w:rsidR="00680B1E" w:rsidRDefault="00680B1E" w:rsidP="00680B1E">
      <w:pPr>
        <w:ind w:firstLine="567"/>
      </w:pPr>
      <w:r>
        <w:t>Данный критерий позволяет оценить грамотность выпускника.</w:t>
      </w:r>
    </w:p>
    <w:p w14:paraId="7342CE3A" w14:textId="77777777" w:rsidR="00680B1E" w:rsidRDefault="00680B1E" w:rsidP="00680B1E">
      <w:pPr>
        <w:ind w:firstLine="567"/>
      </w:pPr>
      <w:r>
        <w:t>«Незачет» ставится при условии, если на 100 слов в среднем приходится в сумме более пяти ошибок: грамматических, орфографических, пунктуационных.</w:t>
      </w:r>
    </w:p>
    <w:p w14:paraId="64EE7969" w14:textId="77777777" w:rsidR="00680B1E" w:rsidRDefault="00680B1E" w:rsidP="00680B1E">
      <w:pPr>
        <w:ind w:firstLine="567"/>
      </w:pPr>
    </w:p>
    <w:p w14:paraId="2BB4922E" w14:textId="77777777" w:rsidR="00680B1E" w:rsidRDefault="00680B1E" w:rsidP="00680B1E">
      <w:pPr>
        <w:ind w:firstLine="567"/>
      </w:pPr>
      <w:r>
        <w:t>Источник: https://ctege.info/voprosyi-i-otvetyi-po-itogovomu-sochineniyu/kriterii-itogovogo-sochineniya.html?ysclid=l9g0q1adpo540187138</w:t>
      </w:r>
    </w:p>
    <w:p w14:paraId="74F3F07A" w14:textId="113EB916" w:rsidR="00E506E5" w:rsidRDefault="00E506E5" w:rsidP="00680B1E">
      <w:pPr>
        <w:ind w:firstLine="567"/>
      </w:pPr>
    </w:p>
    <w:sectPr w:rsidR="00E50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09"/>
    <w:rsid w:val="00587309"/>
    <w:rsid w:val="00680B1E"/>
    <w:rsid w:val="00E5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60AB"/>
  <w15:chartTrackingRefBased/>
  <w15:docId w15:val="{C5F3C1A1-11E3-4422-B83A-CD9810CF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7309"/>
    <w:rPr>
      <w:b/>
      <w:bCs/>
    </w:rPr>
  </w:style>
  <w:style w:type="character" w:styleId="a4">
    <w:name w:val="Hyperlink"/>
    <w:basedOn w:val="a0"/>
    <w:uiPriority w:val="99"/>
    <w:semiHidden/>
    <w:unhideWhenUsed/>
    <w:rsid w:val="00587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9403">
      <w:bodyDiv w:val="1"/>
      <w:marLeft w:val="0"/>
      <w:marRight w:val="0"/>
      <w:marTop w:val="0"/>
      <w:marBottom w:val="0"/>
      <w:divBdr>
        <w:top w:val="none" w:sz="0" w:space="0" w:color="auto"/>
        <w:left w:val="none" w:sz="0" w:space="0" w:color="auto"/>
        <w:bottom w:val="none" w:sz="0" w:space="0" w:color="auto"/>
        <w:right w:val="none" w:sz="0" w:space="0" w:color="auto"/>
      </w:divBdr>
      <w:divsChild>
        <w:div w:id="1735160218">
          <w:marLeft w:val="0"/>
          <w:marRight w:val="0"/>
          <w:marTop w:val="0"/>
          <w:marBottom w:val="0"/>
          <w:divBdr>
            <w:top w:val="none" w:sz="0" w:space="0" w:color="auto"/>
            <w:left w:val="none" w:sz="0" w:space="0" w:color="auto"/>
            <w:bottom w:val="none" w:sz="0" w:space="0" w:color="auto"/>
            <w:right w:val="none" w:sz="0" w:space="0" w:color="auto"/>
          </w:divBdr>
        </w:div>
        <w:div w:id="1168863477">
          <w:marLeft w:val="0"/>
          <w:marRight w:val="0"/>
          <w:marTop w:val="0"/>
          <w:marBottom w:val="0"/>
          <w:divBdr>
            <w:top w:val="none" w:sz="0" w:space="0" w:color="auto"/>
            <w:left w:val="none" w:sz="0" w:space="0" w:color="auto"/>
            <w:bottom w:val="none" w:sz="0" w:space="0" w:color="auto"/>
            <w:right w:val="none" w:sz="0" w:space="0" w:color="auto"/>
          </w:divBdr>
        </w:div>
      </w:divsChild>
    </w:div>
    <w:div w:id="956915046">
      <w:bodyDiv w:val="1"/>
      <w:marLeft w:val="0"/>
      <w:marRight w:val="0"/>
      <w:marTop w:val="0"/>
      <w:marBottom w:val="0"/>
      <w:divBdr>
        <w:top w:val="none" w:sz="0" w:space="0" w:color="auto"/>
        <w:left w:val="none" w:sz="0" w:space="0" w:color="auto"/>
        <w:bottom w:val="none" w:sz="0" w:space="0" w:color="auto"/>
        <w:right w:val="none" w:sz="0" w:space="0" w:color="auto"/>
      </w:divBdr>
      <w:divsChild>
        <w:div w:id="141892067">
          <w:marLeft w:val="0"/>
          <w:marRight w:val="0"/>
          <w:marTop w:val="0"/>
          <w:marBottom w:val="0"/>
          <w:divBdr>
            <w:top w:val="none" w:sz="0" w:space="0" w:color="auto"/>
            <w:left w:val="none" w:sz="0" w:space="0" w:color="auto"/>
            <w:bottom w:val="none" w:sz="0" w:space="0" w:color="auto"/>
            <w:right w:val="none" w:sz="0" w:space="0" w:color="auto"/>
          </w:divBdr>
        </w:div>
      </w:divsChild>
    </w:div>
    <w:div w:id="1184512103">
      <w:bodyDiv w:val="1"/>
      <w:marLeft w:val="0"/>
      <w:marRight w:val="0"/>
      <w:marTop w:val="0"/>
      <w:marBottom w:val="0"/>
      <w:divBdr>
        <w:top w:val="none" w:sz="0" w:space="0" w:color="auto"/>
        <w:left w:val="none" w:sz="0" w:space="0" w:color="auto"/>
        <w:bottom w:val="none" w:sz="0" w:space="0" w:color="auto"/>
        <w:right w:val="none" w:sz="0" w:space="0" w:color="auto"/>
      </w:divBdr>
      <w:divsChild>
        <w:div w:id="254704357">
          <w:marLeft w:val="0"/>
          <w:marRight w:val="0"/>
          <w:marTop w:val="0"/>
          <w:marBottom w:val="0"/>
          <w:divBdr>
            <w:top w:val="none" w:sz="0" w:space="0" w:color="auto"/>
            <w:left w:val="none" w:sz="0" w:space="0" w:color="auto"/>
            <w:bottom w:val="none" w:sz="0" w:space="0" w:color="auto"/>
            <w:right w:val="none" w:sz="0" w:space="0" w:color="auto"/>
          </w:divBdr>
        </w:div>
      </w:divsChild>
    </w:div>
    <w:div w:id="1430083182">
      <w:bodyDiv w:val="1"/>
      <w:marLeft w:val="0"/>
      <w:marRight w:val="0"/>
      <w:marTop w:val="0"/>
      <w:marBottom w:val="0"/>
      <w:divBdr>
        <w:top w:val="none" w:sz="0" w:space="0" w:color="auto"/>
        <w:left w:val="none" w:sz="0" w:space="0" w:color="auto"/>
        <w:bottom w:val="none" w:sz="0" w:space="0" w:color="auto"/>
        <w:right w:val="none" w:sz="0" w:space="0" w:color="auto"/>
      </w:divBdr>
      <w:divsChild>
        <w:div w:id="355620348">
          <w:marLeft w:val="0"/>
          <w:marRight w:val="0"/>
          <w:marTop w:val="0"/>
          <w:marBottom w:val="0"/>
          <w:divBdr>
            <w:top w:val="none" w:sz="0" w:space="0" w:color="auto"/>
            <w:left w:val="none" w:sz="0" w:space="0" w:color="auto"/>
            <w:bottom w:val="none" w:sz="0" w:space="0" w:color="auto"/>
            <w:right w:val="none" w:sz="0" w:space="0" w:color="auto"/>
          </w:divBdr>
        </w:div>
      </w:divsChild>
    </w:div>
    <w:div w:id="1927301647">
      <w:bodyDiv w:val="1"/>
      <w:marLeft w:val="0"/>
      <w:marRight w:val="0"/>
      <w:marTop w:val="0"/>
      <w:marBottom w:val="0"/>
      <w:divBdr>
        <w:top w:val="none" w:sz="0" w:space="0" w:color="auto"/>
        <w:left w:val="none" w:sz="0" w:space="0" w:color="auto"/>
        <w:bottom w:val="none" w:sz="0" w:space="0" w:color="auto"/>
        <w:right w:val="none" w:sz="0" w:space="0" w:color="auto"/>
      </w:divBdr>
      <w:divsChild>
        <w:div w:id="2085103718">
          <w:marLeft w:val="0"/>
          <w:marRight w:val="0"/>
          <w:marTop w:val="0"/>
          <w:marBottom w:val="0"/>
          <w:divBdr>
            <w:top w:val="none" w:sz="0" w:space="0" w:color="auto"/>
            <w:left w:val="none" w:sz="0" w:space="0" w:color="auto"/>
            <w:bottom w:val="none" w:sz="0" w:space="0" w:color="auto"/>
            <w:right w:val="none" w:sz="0" w:space="0" w:color="auto"/>
          </w:divBdr>
        </w:div>
      </w:divsChild>
    </w:div>
    <w:div w:id="1998916056">
      <w:bodyDiv w:val="1"/>
      <w:marLeft w:val="0"/>
      <w:marRight w:val="0"/>
      <w:marTop w:val="0"/>
      <w:marBottom w:val="0"/>
      <w:divBdr>
        <w:top w:val="none" w:sz="0" w:space="0" w:color="auto"/>
        <w:left w:val="none" w:sz="0" w:space="0" w:color="auto"/>
        <w:bottom w:val="none" w:sz="0" w:space="0" w:color="auto"/>
        <w:right w:val="none" w:sz="0" w:space="0" w:color="auto"/>
      </w:divBdr>
      <w:divsChild>
        <w:div w:id="1577013733">
          <w:marLeft w:val="0"/>
          <w:marRight w:val="0"/>
          <w:marTop w:val="0"/>
          <w:marBottom w:val="0"/>
          <w:divBdr>
            <w:top w:val="none" w:sz="0" w:space="0" w:color="auto"/>
            <w:left w:val="none" w:sz="0" w:space="0" w:color="auto"/>
            <w:bottom w:val="none" w:sz="0" w:space="0" w:color="auto"/>
            <w:right w:val="none" w:sz="0" w:space="0" w:color="auto"/>
          </w:divBdr>
          <w:divsChild>
            <w:div w:id="440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fipi.ru/itogovoe-sochinenie/Kriterii_it_soch.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fipi.ru/itogovoe-sochinenie/03_Obrazec_komplekta_tem_2022_23.pdf" TargetMode="External"/><Relationship Id="rId5" Type="http://schemas.openxmlformats.org/officeDocument/2006/relationships/hyperlink" Target="http://doc.fipi.ru/itogovoe-sochinenie/02_Kommentarii_k_razdelam_banka_tem_sochineniy.pdf" TargetMode="External"/><Relationship Id="rId4" Type="http://schemas.openxmlformats.org/officeDocument/2006/relationships/hyperlink" Target="http://doc.fipi.ru/itogovoe-sochinenie/01_struktura_banka_tem_sochineniy.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Морозкина</dc:creator>
  <cp:keywords/>
  <dc:description/>
  <cp:lastModifiedBy>Галина Морозкина</cp:lastModifiedBy>
  <cp:revision>3</cp:revision>
  <dcterms:created xsi:type="dcterms:W3CDTF">2022-10-19T19:10:00Z</dcterms:created>
  <dcterms:modified xsi:type="dcterms:W3CDTF">2022-10-19T19:21:00Z</dcterms:modified>
</cp:coreProperties>
</file>